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3f4b80c8438476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2F30" w14:textId="441B2103" w:rsidR="000E5DE3" w:rsidRPr="000378F3" w:rsidRDefault="005F246F">
      <w:pPr>
        <w:rPr>
          <w:rFonts w:ascii="Arial" w:hAnsi="Arial" w:cs="Arial"/>
          <w:b/>
          <w:sz w:val="28"/>
          <w:szCs w:val="28"/>
        </w:rPr>
      </w:pPr>
      <w:r w:rsidRPr="000378F3">
        <w:rPr>
          <w:rFonts w:ascii="Arial" w:hAnsi="Arial" w:cs="Arial"/>
          <w:b/>
          <w:sz w:val="28"/>
          <w:szCs w:val="28"/>
        </w:rPr>
        <w:t>Culture, Tourism and Sport Board Chair’s Report, June 2014</w:t>
      </w:r>
    </w:p>
    <w:p w14:paraId="6E112F31" w14:textId="77777777" w:rsidR="005F246F" w:rsidRPr="000378F3" w:rsidRDefault="005F246F">
      <w:pPr>
        <w:rPr>
          <w:rFonts w:ascii="Arial" w:hAnsi="Arial" w:cs="Arial"/>
          <w:sz w:val="28"/>
          <w:szCs w:val="28"/>
        </w:rPr>
      </w:pPr>
    </w:p>
    <w:p w14:paraId="6E112F33" w14:textId="37987491" w:rsidR="0068494F" w:rsidRPr="000378F3" w:rsidRDefault="0068494F">
      <w:pPr>
        <w:rPr>
          <w:rFonts w:ascii="Arial" w:hAnsi="Arial" w:cs="Arial"/>
          <w:b/>
        </w:rPr>
      </w:pPr>
      <w:r w:rsidRPr="000378F3">
        <w:rPr>
          <w:rFonts w:ascii="Arial" w:hAnsi="Arial" w:cs="Arial"/>
          <w:b/>
        </w:rPr>
        <w:t>New Culture, Media and Sport Secretary of State</w:t>
      </w:r>
    </w:p>
    <w:p w14:paraId="57A68125" w14:textId="77777777" w:rsidR="007B5543" w:rsidRPr="000378F3" w:rsidRDefault="007B5543">
      <w:pPr>
        <w:rPr>
          <w:rFonts w:ascii="Arial" w:hAnsi="Arial" w:cs="Arial"/>
          <w:u w:val="single"/>
        </w:rPr>
      </w:pPr>
    </w:p>
    <w:p w14:paraId="6E112F34" w14:textId="7CA3FF0F" w:rsidR="0068494F" w:rsidRPr="000378F3" w:rsidRDefault="0068494F" w:rsidP="007B5543">
      <w:pPr>
        <w:pStyle w:val="ListParagraph"/>
        <w:numPr>
          <w:ilvl w:val="0"/>
          <w:numId w:val="2"/>
        </w:numPr>
        <w:ind w:left="567" w:hanging="567"/>
        <w:rPr>
          <w:rFonts w:ascii="Arial" w:hAnsi="Arial" w:cs="Arial"/>
        </w:rPr>
      </w:pPr>
      <w:r w:rsidRPr="000378F3">
        <w:rPr>
          <w:rFonts w:ascii="Arial" w:hAnsi="Arial" w:cs="Arial"/>
        </w:rPr>
        <w:t xml:space="preserve">Sir Merrick Cockell has written to congratulate </w:t>
      </w:r>
      <w:proofErr w:type="spellStart"/>
      <w:r w:rsidRPr="000378F3">
        <w:rPr>
          <w:rFonts w:ascii="Arial" w:hAnsi="Arial" w:cs="Arial"/>
        </w:rPr>
        <w:t>Sajid</w:t>
      </w:r>
      <w:proofErr w:type="spellEnd"/>
      <w:r w:rsidRPr="000378F3">
        <w:rPr>
          <w:rFonts w:ascii="Arial" w:hAnsi="Arial" w:cs="Arial"/>
        </w:rPr>
        <w:t xml:space="preserve"> </w:t>
      </w:r>
      <w:proofErr w:type="spellStart"/>
      <w:r w:rsidRPr="000378F3">
        <w:rPr>
          <w:rFonts w:ascii="Arial" w:hAnsi="Arial" w:cs="Arial"/>
        </w:rPr>
        <w:t>Javid</w:t>
      </w:r>
      <w:proofErr w:type="spellEnd"/>
      <w:r w:rsidRPr="000378F3">
        <w:rPr>
          <w:rFonts w:ascii="Arial" w:hAnsi="Arial" w:cs="Arial"/>
        </w:rPr>
        <w:t xml:space="preserve"> MP, on his appointment as Secretary of State for Culture, Media and Sport, emphasising our sector’s contribution to growth and the need for continued strong working between us and the Department and its arm’s length bodies.  Sir Merrick is meeting </w:t>
      </w:r>
      <w:proofErr w:type="spellStart"/>
      <w:r w:rsidRPr="000378F3">
        <w:rPr>
          <w:rFonts w:ascii="Arial" w:hAnsi="Arial" w:cs="Arial"/>
        </w:rPr>
        <w:t>Mr.</w:t>
      </w:r>
      <w:proofErr w:type="spellEnd"/>
      <w:r w:rsidRPr="000378F3">
        <w:rPr>
          <w:rFonts w:ascii="Arial" w:hAnsi="Arial" w:cs="Arial"/>
        </w:rPr>
        <w:t xml:space="preserve"> </w:t>
      </w:r>
      <w:proofErr w:type="spellStart"/>
      <w:r w:rsidRPr="000378F3">
        <w:rPr>
          <w:rFonts w:ascii="Arial" w:hAnsi="Arial" w:cs="Arial"/>
        </w:rPr>
        <w:t>Javid</w:t>
      </w:r>
      <w:proofErr w:type="spellEnd"/>
      <w:r w:rsidRPr="000378F3">
        <w:rPr>
          <w:rFonts w:ascii="Arial" w:hAnsi="Arial" w:cs="Arial"/>
        </w:rPr>
        <w:t xml:space="preserve"> on 11 June and I am also looking forward to meeting him at an English Heritage event this week.</w:t>
      </w:r>
    </w:p>
    <w:p w14:paraId="6E112F35" w14:textId="77777777" w:rsidR="0068494F" w:rsidRPr="000378F3" w:rsidRDefault="0068494F">
      <w:pPr>
        <w:rPr>
          <w:rFonts w:ascii="Arial" w:hAnsi="Arial" w:cs="Arial"/>
          <w:u w:val="single"/>
        </w:rPr>
      </w:pPr>
    </w:p>
    <w:p w14:paraId="6E112F37" w14:textId="7BB05ACD" w:rsidR="005F246F" w:rsidRPr="000378F3" w:rsidRDefault="005F246F">
      <w:pPr>
        <w:rPr>
          <w:rFonts w:ascii="Arial" w:hAnsi="Arial" w:cs="Arial"/>
          <w:b/>
        </w:rPr>
      </w:pPr>
      <w:r w:rsidRPr="000378F3">
        <w:rPr>
          <w:rFonts w:ascii="Arial" w:hAnsi="Arial" w:cs="Arial"/>
          <w:b/>
        </w:rPr>
        <w:t>Libraries</w:t>
      </w:r>
    </w:p>
    <w:p w14:paraId="6EBCAF85" w14:textId="77777777" w:rsidR="007B5543" w:rsidRPr="000378F3" w:rsidRDefault="007B5543">
      <w:pPr>
        <w:rPr>
          <w:rFonts w:ascii="Arial" w:hAnsi="Arial" w:cs="Arial"/>
        </w:rPr>
      </w:pPr>
    </w:p>
    <w:p w14:paraId="6E112F38" w14:textId="0C5F3130" w:rsidR="0068494F" w:rsidRPr="000378F3" w:rsidRDefault="005F246F" w:rsidP="007B5543">
      <w:pPr>
        <w:pStyle w:val="ListParagraph"/>
        <w:numPr>
          <w:ilvl w:val="0"/>
          <w:numId w:val="2"/>
        </w:numPr>
        <w:ind w:left="567" w:hanging="567"/>
        <w:rPr>
          <w:rFonts w:ascii="Arial" w:hAnsi="Arial" w:cs="Arial"/>
        </w:rPr>
      </w:pPr>
      <w:r w:rsidRPr="000378F3">
        <w:rPr>
          <w:rFonts w:ascii="Arial" w:hAnsi="Arial" w:cs="Arial"/>
        </w:rPr>
        <w:t>Culture, Tourism and Sport Board</w:t>
      </w:r>
      <w:r w:rsidR="0068494F" w:rsidRPr="000378F3">
        <w:rPr>
          <w:rFonts w:ascii="Arial" w:hAnsi="Arial" w:cs="Arial"/>
        </w:rPr>
        <w:t xml:space="preserve"> lead members </w:t>
      </w:r>
      <w:r w:rsidRPr="000378F3">
        <w:rPr>
          <w:rFonts w:ascii="Arial" w:hAnsi="Arial" w:cs="Arial"/>
        </w:rPr>
        <w:t xml:space="preserve">had a </w:t>
      </w:r>
      <w:r w:rsidR="0068494F" w:rsidRPr="000378F3">
        <w:rPr>
          <w:rFonts w:ascii="Arial" w:hAnsi="Arial" w:cs="Arial"/>
        </w:rPr>
        <w:t xml:space="preserve">very </w:t>
      </w:r>
      <w:r w:rsidRPr="000378F3">
        <w:rPr>
          <w:rFonts w:ascii="Arial" w:hAnsi="Arial" w:cs="Arial"/>
        </w:rPr>
        <w:t>positive meeting</w:t>
      </w:r>
      <w:r w:rsidR="00A4314D" w:rsidRPr="000378F3">
        <w:rPr>
          <w:rFonts w:ascii="Arial" w:hAnsi="Arial" w:cs="Arial"/>
        </w:rPr>
        <w:t xml:space="preserve"> in April</w:t>
      </w:r>
      <w:r w:rsidRPr="000378F3">
        <w:rPr>
          <w:rFonts w:ascii="Arial" w:hAnsi="Arial" w:cs="Arial"/>
        </w:rPr>
        <w:t xml:space="preserve"> with </w:t>
      </w:r>
      <w:r w:rsidR="0068494F" w:rsidRPr="000378F3">
        <w:rPr>
          <w:rFonts w:ascii="Arial" w:hAnsi="Arial" w:cs="Arial"/>
        </w:rPr>
        <w:t xml:space="preserve">William </w:t>
      </w:r>
      <w:proofErr w:type="spellStart"/>
      <w:r w:rsidR="0068494F" w:rsidRPr="000378F3">
        <w:rPr>
          <w:rFonts w:ascii="Arial" w:hAnsi="Arial" w:cs="Arial"/>
        </w:rPr>
        <w:t>Sieghart</w:t>
      </w:r>
      <w:proofErr w:type="spellEnd"/>
      <w:r w:rsidR="0068494F" w:rsidRPr="000378F3">
        <w:rPr>
          <w:rFonts w:ascii="Arial" w:hAnsi="Arial" w:cs="Arial"/>
        </w:rPr>
        <w:t xml:space="preserve">, publisher and entrepreneur, who has been asked by the Departments for Culture, Media and Sport and Communities and Local Government to lead an independent review of public libraries.   We said to </w:t>
      </w:r>
      <w:proofErr w:type="spellStart"/>
      <w:r w:rsidR="0068494F" w:rsidRPr="000378F3">
        <w:rPr>
          <w:rFonts w:ascii="Arial" w:hAnsi="Arial" w:cs="Arial"/>
        </w:rPr>
        <w:t>Mr.</w:t>
      </w:r>
      <w:proofErr w:type="spellEnd"/>
      <w:r w:rsidR="000C11BD" w:rsidRPr="000378F3">
        <w:rPr>
          <w:rFonts w:ascii="Arial" w:hAnsi="Arial" w:cs="Arial"/>
        </w:rPr>
        <w:t xml:space="preserve"> </w:t>
      </w:r>
      <w:proofErr w:type="spellStart"/>
      <w:r w:rsidR="0068494F" w:rsidRPr="000378F3">
        <w:rPr>
          <w:rFonts w:ascii="Arial" w:hAnsi="Arial" w:cs="Arial"/>
        </w:rPr>
        <w:t>Sieghart</w:t>
      </w:r>
      <w:proofErr w:type="spellEnd"/>
      <w:r w:rsidR="0068494F" w:rsidRPr="000378F3">
        <w:rPr>
          <w:rFonts w:ascii="Arial" w:hAnsi="Arial" w:cs="Arial"/>
        </w:rPr>
        <w:t xml:space="preserve"> that the future of libraries has to be considered as part of the overall council service offer to communities; libraries are most likely to be viable when they can demonstrate their value to th</w:t>
      </w:r>
      <w:r w:rsidR="00A4314D" w:rsidRPr="000378F3">
        <w:rPr>
          <w:rFonts w:ascii="Arial" w:hAnsi="Arial" w:cs="Arial"/>
        </w:rPr>
        <w:t xml:space="preserve">e widest possible group of users.  We encouraged the panel to </w:t>
      </w:r>
      <w:r w:rsidR="0068494F" w:rsidRPr="000378F3">
        <w:rPr>
          <w:rFonts w:ascii="Arial" w:hAnsi="Arial" w:cs="Arial"/>
        </w:rPr>
        <w:t>build on good practice and help to drive innovation in the locally-managed service. We are gi</w:t>
      </w:r>
      <w:r w:rsidR="00A4314D" w:rsidRPr="000378F3">
        <w:rPr>
          <w:rFonts w:ascii="Arial" w:hAnsi="Arial" w:cs="Arial"/>
        </w:rPr>
        <w:t>ving oral evidence to the full panel</w:t>
      </w:r>
      <w:r w:rsidR="0068494F" w:rsidRPr="000378F3">
        <w:rPr>
          <w:rFonts w:ascii="Arial" w:hAnsi="Arial" w:cs="Arial"/>
        </w:rPr>
        <w:t xml:space="preserve"> on 7 July.</w:t>
      </w:r>
    </w:p>
    <w:p w14:paraId="6E112F39" w14:textId="77777777" w:rsidR="003E0248" w:rsidRPr="000378F3" w:rsidRDefault="003E0248">
      <w:pPr>
        <w:rPr>
          <w:rFonts w:ascii="Arial" w:hAnsi="Arial" w:cs="Arial"/>
        </w:rPr>
      </w:pPr>
    </w:p>
    <w:p w14:paraId="6E112F3A" w14:textId="77777777" w:rsidR="003E0248" w:rsidRPr="000378F3" w:rsidRDefault="003E0248">
      <w:pPr>
        <w:rPr>
          <w:rFonts w:ascii="Arial" w:hAnsi="Arial" w:cs="Arial"/>
          <w:b/>
        </w:rPr>
      </w:pPr>
      <w:r w:rsidRPr="000378F3">
        <w:rPr>
          <w:rFonts w:ascii="Arial" w:hAnsi="Arial" w:cs="Arial"/>
          <w:b/>
        </w:rPr>
        <w:t>Farrell Review of Architecture and the Built Environment</w:t>
      </w:r>
    </w:p>
    <w:p w14:paraId="6E112F3B" w14:textId="77777777" w:rsidR="003E0248" w:rsidRPr="000378F3" w:rsidRDefault="003E0248">
      <w:pPr>
        <w:rPr>
          <w:rFonts w:ascii="Arial" w:hAnsi="Arial" w:cs="Arial"/>
        </w:rPr>
      </w:pPr>
    </w:p>
    <w:p w14:paraId="6E112F3C" w14:textId="35741B30" w:rsidR="0068494F" w:rsidRPr="000378F3" w:rsidRDefault="003E0248" w:rsidP="007B5543">
      <w:pPr>
        <w:pStyle w:val="ListParagraph"/>
        <w:numPr>
          <w:ilvl w:val="0"/>
          <w:numId w:val="2"/>
        </w:numPr>
        <w:ind w:left="567" w:hanging="567"/>
        <w:rPr>
          <w:rFonts w:ascii="Arial" w:hAnsi="Arial" w:cs="Arial"/>
        </w:rPr>
      </w:pPr>
      <w:r w:rsidRPr="000378F3">
        <w:rPr>
          <w:rFonts w:ascii="Arial" w:hAnsi="Arial" w:cs="Arial"/>
        </w:rPr>
        <w:t xml:space="preserve">Sir Terry Farrell has published his independent review of architecture and the built environment, which was commissioned by Ed </w:t>
      </w:r>
      <w:proofErr w:type="spellStart"/>
      <w:r w:rsidRPr="000378F3">
        <w:rPr>
          <w:rFonts w:ascii="Arial" w:hAnsi="Arial" w:cs="Arial"/>
        </w:rPr>
        <w:t>Vaizey</w:t>
      </w:r>
      <w:proofErr w:type="spellEnd"/>
      <w:r w:rsidRPr="000378F3">
        <w:rPr>
          <w:rFonts w:ascii="Arial" w:hAnsi="Arial" w:cs="Arial"/>
        </w:rPr>
        <w:t xml:space="preserve"> MP, Culture Minister.  I was pleased that following a lively discussion with the Culture, Tourism and Sport Board, and a positive meeting with Sir Merrick Cockell, as well as input from the</w:t>
      </w:r>
      <w:r w:rsidR="0068494F" w:rsidRPr="000378F3">
        <w:rPr>
          <w:rFonts w:ascii="Arial" w:hAnsi="Arial" w:cs="Arial"/>
        </w:rPr>
        <w:t xml:space="preserve"> </w:t>
      </w:r>
      <w:r w:rsidRPr="000378F3">
        <w:rPr>
          <w:rFonts w:ascii="Arial" w:hAnsi="Arial" w:cs="Arial"/>
        </w:rPr>
        <w:t xml:space="preserve">Environment and Housing Board, the Review Team had taken on board many of the LGA’s points.  </w:t>
      </w:r>
    </w:p>
    <w:p w14:paraId="6E112F3D" w14:textId="77777777" w:rsidR="0068494F" w:rsidRPr="000378F3" w:rsidRDefault="0068494F" w:rsidP="003E0248">
      <w:pPr>
        <w:rPr>
          <w:rFonts w:ascii="Arial" w:hAnsi="Arial" w:cs="Arial"/>
        </w:rPr>
      </w:pPr>
    </w:p>
    <w:p w14:paraId="6E112F3E" w14:textId="0D61027A" w:rsidR="003E0248" w:rsidRPr="000378F3" w:rsidRDefault="003E0248" w:rsidP="007B5543">
      <w:pPr>
        <w:pStyle w:val="ListParagraph"/>
        <w:numPr>
          <w:ilvl w:val="0"/>
          <w:numId w:val="2"/>
        </w:numPr>
        <w:ind w:left="567" w:hanging="567"/>
        <w:rPr>
          <w:rFonts w:ascii="Arial" w:hAnsi="Arial" w:cs="Arial"/>
        </w:rPr>
      </w:pPr>
      <w:r w:rsidRPr="000378F3">
        <w:rPr>
          <w:rFonts w:ascii="Arial" w:hAnsi="Arial" w:cs="Arial"/>
        </w:rPr>
        <w:t xml:space="preserve">In particular, we support the review's emphasis on how elected councillors can work together with design professionals and residents to develop a vision for places really worth living in.  We look forward to continuing to work closely with the Review Team as they move into the implementation phase. </w:t>
      </w:r>
    </w:p>
    <w:p w14:paraId="6E112F3F" w14:textId="77777777" w:rsidR="003E0248" w:rsidRPr="000378F3" w:rsidRDefault="003E0248">
      <w:pPr>
        <w:rPr>
          <w:rFonts w:ascii="Arial" w:hAnsi="Arial" w:cs="Arial"/>
        </w:rPr>
      </w:pPr>
    </w:p>
    <w:p w14:paraId="6E112F40" w14:textId="77777777" w:rsidR="00532EE9" w:rsidRPr="000378F3" w:rsidRDefault="00532EE9" w:rsidP="00532EE9">
      <w:pPr>
        <w:rPr>
          <w:rFonts w:ascii="Arial" w:hAnsi="Arial" w:cs="Arial"/>
          <w:b/>
        </w:rPr>
      </w:pPr>
      <w:r w:rsidRPr="000378F3">
        <w:rPr>
          <w:rFonts w:ascii="Arial" w:hAnsi="Arial" w:cs="Arial"/>
          <w:b/>
        </w:rPr>
        <w:t>LGA-led Betting Commission</w:t>
      </w:r>
    </w:p>
    <w:p w14:paraId="6E112F41" w14:textId="77777777" w:rsidR="00532EE9" w:rsidRPr="000378F3" w:rsidRDefault="00532EE9" w:rsidP="00532EE9">
      <w:pPr>
        <w:rPr>
          <w:rFonts w:ascii="Arial" w:hAnsi="Arial" w:cs="Arial"/>
          <w:u w:val="single"/>
        </w:rPr>
      </w:pPr>
    </w:p>
    <w:tbl>
      <w:tblPr>
        <w:tblpPr w:leftFromText="180" w:rightFromText="180" w:vertAnchor="text" w:horzAnchor="page" w:tblpX="1921" w:tblpY="1568"/>
        <w:tblW w:w="0" w:type="auto"/>
        <w:tblBorders>
          <w:top w:val="nil"/>
          <w:left w:val="nil"/>
          <w:bottom w:val="nil"/>
          <w:right w:val="nil"/>
        </w:tblBorders>
        <w:tblLayout w:type="fixed"/>
        <w:tblLook w:val="0000" w:firstRow="0" w:lastRow="0" w:firstColumn="0" w:lastColumn="0" w:noHBand="0" w:noVBand="0"/>
      </w:tblPr>
      <w:tblGrid>
        <w:gridCol w:w="3174"/>
        <w:gridCol w:w="3174"/>
      </w:tblGrid>
      <w:tr w:rsidR="00360048" w:rsidRPr="000378F3" w14:paraId="576FE79B" w14:textId="77777777" w:rsidTr="00360048">
        <w:trPr>
          <w:trHeight w:val="131"/>
        </w:trPr>
        <w:tc>
          <w:tcPr>
            <w:tcW w:w="3174" w:type="dxa"/>
          </w:tcPr>
          <w:p w14:paraId="6C0F5007" w14:textId="77777777" w:rsidR="00360048" w:rsidRPr="000378F3" w:rsidRDefault="00360048" w:rsidP="00360048">
            <w:pPr>
              <w:rPr>
                <w:rFonts w:ascii="Arial" w:hAnsi="Arial" w:cs="Arial"/>
              </w:rPr>
            </w:pPr>
            <w:bookmarkStart w:id="0" w:name="_GoBack"/>
            <w:bookmarkEnd w:id="0"/>
            <w:r w:rsidRPr="000378F3">
              <w:rPr>
                <w:rFonts w:ascii="Arial" w:hAnsi="Arial" w:cs="Arial"/>
                <w:b/>
                <w:bCs/>
              </w:rPr>
              <w:t xml:space="preserve">Contact officer: </w:t>
            </w:r>
          </w:p>
        </w:tc>
        <w:tc>
          <w:tcPr>
            <w:tcW w:w="3174" w:type="dxa"/>
          </w:tcPr>
          <w:p w14:paraId="227E0419" w14:textId="77777777" w:rsidR="00360048" w:rsidRPr="000378F3" w:rsidRDefault="00360048" w:rsidP="00360048">
            <w:pPr>
              <w:rPr>
                <w:rFonts w:ascii="Arial" w:hAnsi="Arial" w:cs="Arial"/>
              </w:rPr>
            </w:pPr>
            <w:r w:rsidRPr="000378F3">
              <w:rPr>
                <w:rFonts w:ascii="Arial" w:hAnsi="Arial" w:cs="Arial"/>
              </w:rPr>
              <w:t xml:space="preserve">Laura Caton </w:t>
            </w:r>
          </w:p>
        </w:tc>
      </w:tr>
      <w:tr w:rsidR="00360048" w:rsidRPr="000378F3" w14:paraId="6185D74E" w14:textId="77777777" w:rsidTr="00360048">
        <w:trPr>
          <w:trHeight w:val="131"/>
        </w:trPr>
        <w:tc>
          <w:tcPr>
            <w:tcW w:w="3174" w:type="dxa"/>
          </w:tcPr>
          <w:p w14:paraId="7B150BCF" w14:textId="77777777" w:rsidR="00360048" w:rsidRPr="000378F3" w:rsidRDefault="00360048" w:rsidP="00360048">
            <w:pPr>
              <w:rPr>
                <w:rFonts w:ascii="Arial" w:hAnsi="Arial" w:cs="Arial"/>
              </w:rPr>
            </w:pPr>
            <w:r w:rsidRPr="000378F3">
              <w:rPr>
                <w:rFonts w:ascii="Arial" w:hAnsi="Arial" w:cs="Arial"/>
                <w:b/>
                <w:bCs/>
              </w:rPr>
              <w:t xml:space="preserve">Position: </w:t>
            </w:r>
          </w:p>
        </w:tc>
        <w:tc>
          <w:tcPr>
            <w:tcW w:w="3174" w:type="dxa"/>
          </w:tcPr>
          <w:p w14:paraId="7172F09E" w14:textId="77777777" w:rsidR="00360048" w:rsidRPr="000378F3" w:rsidRDefault="00360048" w:rsidP="00360048">
            <w:pPr>
              <w:rPr>
                <w:rFonts w:ascii="Arial" w:hAnsi="Arial" w:cs="Arial"/>
              </w:rPr>
            </w:pPr>
            <w:r w:rsidRPr="000378F3">
              <w:rPr>
                <w:rFonts w:ascii="Arial" w:hAnsi="Arial" w:cs="Arial"/>
              </w:rPr>
              <w:t xml:space="preserve">Senior Adviser </w:t>
            </w:r>
          </w:p>
        </w:tc>
      </w:tr>
      <w:tr w:rsidR="00360048" w:rsidRPr="000378F3" w14:paraId="0A14F878" w14:textId="77777777" w:rsidTr="00360048">
        <w:trPr>
          <w:trHeight w:val="131"/>
        </w:trPr>
        <w:tc>
          <w:tcPr>
            <w:tcW w:w="3174" w:type="dxa"/>
          </w:tcPr>
          <w:p w14:paraId="66A1B98E" w14:textId="77777777" w:rsidR="00360048" w:rsidRPr="000378F3" w:rsidRDefault="00360048" w:rsidP="00360048">
            <w:pPr>
              <w:rPr>
                <w:rFonts w:ascii="Arial" w:hAnsi="Arial" w:cs="Arial"/>
              </w:rPr>
            </w:pPr>
            <w:r w:rsidRPr="000378F3">
              <w:rPr>
                <w:rFonts w:ascii="Arial" w:hAnsi="Arial" w:cs="Arial"/>
                <w:b/>
                <w:bCs/>
              </w:rPr>
              <w:t xml:space="preserve">Phone no: </w:t>
            </w:r>
          </w:p>
        </w:tc>
        <w:tc>
          <w:tcPr>
            <w:tcW w:w="3174" w:type="dxa"/>
          </w:tcPr>
          <w:p w14:paraId="65585DD7" w14:textId="77777777" w:rsidR="00360048" w:rsidRPr="000378F3" w:rsidRDefault="00360048" w:rsidP="00360048">
            <w:pPr>
              <w:rPr>
                <w:rFonts w:ascii="Arial" w:hAnsi="Arial" w:cs="Arial"/>
              </w:rPr>
            </w:pPr>
            <w:r w:rsidRPr="000378F3">
              <w:rPr>
                <w:rFonts w:ascii="Arial" w:hAnsi="Arial" w:cs="Arial"/>
              </w:rPr>
              <w:t xml:space="preserve">020 7664 3154 </w:t>
            </w:r>
          </w:p>
        </w:tc>
      </w:tr>
      <w:tr w:rsidR="00360048" w:rsidRPr="000378F3" w14:paraId="348C0238" w14:textId="77777777" w:rsidTr="00360048">
        <w:trPr>
          <w:trHeight w:val="131"/>
        </w:trPr>
        <w:tc>
          <w:tcPr>
            <w:tcW w:w="3174" w:type="dxa"/>
          </w:tcPr>
          <w:p w14:paraId="618CD4A1" w14:textId="77777777" w:rsidR="00360048" w:rsidRPr="000378F3" w:rsidRDefault="00360048" w:rsidP="00360048">
            <w:pPr>
              <w:rPr>
                <w:rFonts w:ascii="Arial" w:hAnsi="Arial" w:cs="Arial"/>
              </w:rPr>
            </w:pPr>
            <w:r w:rsidRPr="000378F3">
              <w:rPr>
                <w:rFonts w:ascii="Arial" w:hAnsi="Arial" w:cs="Arial"/>
                <w:b/>
                <w:bCs/>
              </w:rPr>
              <w:t xml:space="preserve">E-mail: </w:t>
            </w:r>
          </w:p>
        </w:tc>
        <w:tc>
          <w:tcPr>
            <w:tcW w:w="3174" w:type="dxa"/>
          </w:tcPr>
          <w:p w14:paraId="72C617CD" w14:textId="77777777" w:rsidR="00360048" w:rsidRPr="000378F3" w:rsidRDefault="00360048" w:rsidP="00360048">
            <w:pPr>
              <w:rPr>
                <w:rFonts w:ascii="Arial" w:hAnsi="Arial" w:cs="Arial"/>
              </w:rPr>
            </w:pPr>
            <w:r w:rsidRPr="000378F3">
              <w:rPr>
                <w:rFonts w:ascii="Arial" w:hAnsi="Arial" w:cs="Arial"/>
              </w:rPr>
              <w:t xml:space="preserve">laura.caton@local.gov.uk </w:t>
            </w:r>
          </w:p>
        </w:tc>
      </w:tr>
    </w:tbl>
    <w:p w14:paraId="6E112F43" w14:textId="3A2213EF" w:rsidR="003E0248" w:rsidRDefault="00532EE9" w:rsidP="007B5543">
      <w:pPr>
        <w:pStyle w:val="ListParagraph"/>
        <w:numPr>
          <w:ilvl w:val="0"/>
          <w:numId w:val="2"/>
        </w:numPr>
        <w:ind w:left="567" w:hanging="567"/>
        <w:rPr>
          <w:rFonts w:ascii="Arial" w:hAnsi="Arial" w:cs="Arial"/>
        </w:rPr>
      </w:pPr>
      <w:r w:rsidRPr="000378F3">
        <w:rPr>
          <w:rFonts w:ascii="Arial" w:hAnsi="Arial" w:cs="Arial"/>
        </w:rPr>
        <w:t xml:space="preserve">I was pleased to attend the second meeting of the LGA-led betting commission on 4 June.  We discussed the recent government announcement on new measures affecting betting shops and Fixed Odd Betting Terminal machines, and I highlighted the importance of partnerships between councils and industry in implementing the changes. </w:t>
      </w:r>
    </w:p>
    <w:p w14:paraId="56D5FE1D" w14:textId="77777777" w:rsidR="000378F3" w:rsidRDefault="000378F3" w:rsidP="000378F3">
      <w:pPr>
        <w:pStyle w:val="ListParagraph"/>
        <w:ind w:left="567"/>
        <w:rPr>
          <w:rFonts w:ascii="Arial" w:hAnsi="Arial" w:cs="Arial"/>
        </w:rPr>
      </w:pPr>
    </w:p>
    <w:p w14:paraId="1BEB26E1" w14:textId="77777777" w:rsidR="000378F3" w:rsidRDefault="000378F3" w:rsidP="000378F3">
      <w:pPr>
        <w:rPr>
          <w:rFonts w:ascii="Arial" w:hAnsi="Arial" w:cs="Arial"/>
        </w:rPr>
      </w:pPr>
    </w:p>
    <w:p w14:paraId="7F43D95D" w14:textId="77777777" w:rsidR="000378F3" w:rsidRPr="000378F3" w:rsidRDefault="000378F3" w:rsidP="000378F3">
      <w:pPr>
        <w:rPr>
          <w:rFonts w:ascii="Arial" w:hAnsi="Arial" w:cs="Arial"/>
        </w:rPr>
      </w:pPr>
    </w:p>
    <w:sectPr w:rsidR="000378F3" w:rsidRPr="000378F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950D" w14:textId="77777777" w:rsidR="007B5543" w:rsidRDefault="007B5543" w:rsidP="007B5543">
      <w:pPr>
        <w:spacing w:line="240" w:lineRule="auto"/>
      </w:pPr>
      <w:r>
        <w:separator/>
      </w:r>
    </w:p>
  </w:endnote>
  <w:endnote w:type="continuationSeparator" w:id="0">
    <w:p w14:paraId="08643CCC" w14:textId="77777777" w:rsidR="007B5543" w:rsidRDefault="007B5543" w:rsidP="007B5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8F79" w14:textId="77777777" w:rsidR="007B5543" w:rsidRDefault="007B5543" w:rsidP="007B5543">
      <w:pPr>
        <w:spacing w:line="240" w:lineRule="auto"/>
      </w:pPr>
      <w:r>
        <w:separator/>
      </w:r>
    </w:p>
  </w:footnote>
  <w:footnote w:type="continuationSeparator" w:id="0">
    <w:p w14:paraId="4A008714" w14:textId="77777777" w:rsidR="007B5543" w:rsidRDefault="007B5543" w:rsidP="007B5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2" w:type="dxa"/>
      <w:tblLook w:val="01E0" w:firstRow="1" w:lastRow="1" w:firstColumn="1" w:lastColumn="1" w:noHBand="0" w:noVBand="0"/>
    </w:tblPr>
    <w:tblGrid>
      <w:gridCol w:w="5786"/>
      <w:gridCol w:w="3516"/>
    </w:tblGrid>
    <w:tr w:rsidR="007B5543" w:rsidRPr="007B5543" w14:paraId="5C2D362B" w14:textId="77777777" w:rsidTr="007B5543">
      <w:trPr>
        <w:trHeight w:val="1129"/>
      </w:trPr>
      <w:tc>
        <w:tcPr>
          <w:tcW w:w="5786" w:type="dxa"/>
        </w:tcPr>
        <w:p w14:paraId="5DECC62D" w14:textId="77777777" w:rsidR="007B5543" w:rsidRPr="007B5543" w:rsidRDefault="007B5543" w:rsidP="007B5543">
          <w:pPr>
            <w:tabs>
              <w:tab w:val="center" w:pos="4513"/>
              <w:tab w:val="right" w:pos="9026"/>
            </w:tabs>
            <w:spacing w:line="240" w:lineRule="auto"/>
            <w:rPr>
              <w:rFonts w:ascii="Arial" w:hAnsi="Arial" w:cs="Arial"/>
              <w:b/>
            </w:rPr>
          </w:pPr>
          <w:r w:rsidRPr="007B5543">
            <w:rPr>
              <w:rFonts w:ascii="Arial" w:hAnsi="Arial" w:cs="Arial"/>
              <w:b/>
              <w:noProof/>
              <w:lang w:eastAsia="en-GB"/>
            </w:rPr>
            <w:drawing>
              <wp:inline distT="0" distB="0" distL="0" distR="0" wp14:anchorId="4D83F885" wp14:editId="29FD7B34">
                <wp:extent cx="1181100" cy="701813"/>
                <wp:effectExtent l="0" t="0" r="0" b="317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01813"/>
                        </a:xfrm>
                        <a:prstGeom prst="rect">
                          <a:avLst/>
                        </a:prstGeom>
                        <a:noFill/>
                        <a:ln>
                          <a:noFill/>
                        </a:ln>
                      </pic:spPr>
                    </pic:pic>
                  </a:graphicData>
                </a:graphic>
              </wp:inline>
            </w:drawing>
          </w:r>
        </w:p>
        <w:p w14:paraId="5F7BA222" w14:textId="77777777" w:rsidR="007B5543" w:rsidRPr="007B5543" w:rsidRDefault="007B5543" w:rsidP="007B5543">
          <w:pPr>
            <w:tabs>
              <w:tab w:val="center" w:pos="4513"/>
              <w:tab w:val="right" w:pos="9026"/>
            </w:tabs>
            <w:spacing w:line="240" w:lineRule="auto"/>
            <w:rPr>
              <w:rFonts w:ascii="Arial" w:hAnsi="Arial" w:cs="Arial"/>
            </w:rPr>
          </w:pPr>
        </w:p>
      </w:tc>
      <w:tc>
        <w:tcPr>
          <w:tcW w:w="3516" w:type="dxa"/>
        </w:tcPr>
        <w:p w14:paraId="2507E0DF" w14:textId="77777777" w:rsidR="007B5543" w:rsidRPr="007B5543" w:rsidRDefault="007B5543" w:rsidP="007B5543">
          <w:pPr>
            <w:tabs>
              <w:tab w:val="center" w:pos="4513"/>
              <w:tab w:val="right" w:pos="9026"/>
            </w:tabs>
            <w:spacing w:line="240" w:lineRule="auto"/>
            <w:rPr>
              <w:rFonts w:ascii="Arial" w:hAnsi="Arial" w:cs="Arial"/>
              <w:b/>
            </w:rPr>
          </w:pPr>
          <w:r w:rsidRPr="007B5543">
            <w:rPr>
              <w:rFonts w:ascii="Arial" w:hAnsi="Arial" w:cs="Arial"/>
              <w:b/>
            </w:rPr>
            <w:t>Councillors’ Forum</w:t>
          </w:r>
        </w:p>
        <w:p w14:paraId="3A4AA1C8" w14:textId="2B62785D" w:rsidR="007B5543" w:rsidRPr="007B5543" w:rsidRDefault="007B5543" w:rsidP="007B5543">
          <w:pPr>
            <w:tabs>
              <w:tab w:val="center" w:pos="4513"/>
              <w:tab w:val="right" w:pos="9026"/>
            </w:tabs>
            <w:spacing w:line="240" w:lineRule="auto"/>
            <w:rPr>
              <w:rFonts w:ascii="Arial" w:hAnsi="Arial" w:cs="Arial"/>
            </w:rPr>
          </w:pPr>
          <w:r>
            <w:rPr>
              <w:rFonts w:ascii="Arial" w:hAnsi="Arial" w:cs="Arial"/>
            </w:rPr>
            <w:t>12 June</w:t>
          </w:r>
          <w:r w:rsidRPr="007B5543">
            <w:rPr>
              <w:rFonts w:ascii="Arial" w:hAnsi="Arial" w:cs="Arial"/>
            </w:rPr>
            <w:t xml:space="preserve"> 2014 </w:t>
          </w:r>
        </w:p>
      </w:tc>
    </w:tr>
  </w:tbl>
  <w:p w14:paraId="436B2B46" w14:textId="77777777" w:rsidR="007B5543" w:rsidRDefault="007B5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65BB"/>
    <w:multiLevelType w:val="hybridMultilevel"/>
    <w:tmpl w:val="795E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BF273C"/>
    <w:multiLevelType w:val="hybridMultilevel"/>
    <w:tmpl w:val="C078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BA"/>
    <w:rsid w:val="000378F3"/>
    <w:rsid w:val="000C11BD"/>
    <w:rsid w:val="000E5DE3"/>
    <w:rsid w:val="00360048"/>
    <w:rsid w:val="003E0248"/>
    <w:rsid w:val="00532EE9"/>
    <w:rsid w:val="005F246F"/>
    <w:rsid w:val="0068494F"/>
    <w:rsid w:val="007B5543"/>
    <w:rsid w:val="00A206BA"/>
    <w:rsid w:val="00A4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48"/>
    <w:pPr>
      <w:spacing w:line="240" w:lineRule="auto"/>
      <w:ind w:left="720"/>
    </w:pPr>
    <w:rPr>
      <w:rFonts w:ascii="Calibri" w:hAnsi="Calibri" w:cs="Times New Roman"/>
    </w:rPr>
  </w:style>
  <w:style w:type="paragraph" w:styleId="Header">
    <w:name w:val="header"/>
    <w:basedOn w:val="Normal"/>
    <w:link w:val="HeaderChar"/>
    <w:uiPriority w:val="99"/>
    <w:unhideWhenUsed/>
    <w:rsid w:val="007B5543"/>
    <w:pPr>
      <w:tabs>
        <w:tab w:val="center" w:pos="4513"/>
        <w:tab w:val="right" w:pos="9026"/>
      </w:tabs>
      <w:spacing w:line="240" w:lineRule="auto"/>
    </w:pPr>
  </w:style>
  <w:style w:type="character" w:customStyle="1" w:styleId="HeaderChar">
    <w:name w:val="Header Char"/>
    <w:basedOn w:val="DefaultParagraphFont"/>
    <w:link w:val="Header"/>
    <w:uiPriority w:val="99"/>
    <w:rsid w:val="007B5543"/>
  </w:style>
  <w:style w:type="paragraph" w:styleId="Footer">
    <w:name w:val="footer"/>
    <w:basedOn w:val="Normal"/>
    <w:link w:val="FooterChar"/>
    <w:uiPriority w:val="99"/>
    <w:unhideWhenUsed/>
    <w:rsid w:val="007B5543"/>
    <w:pPr>
      <w:tabs>
        <w:tab w:val="center" w:pos="4513"/>
        <w:tab w:val="right" w:pos="9026"/>
      </w:tabs>
      <w:spacing w:line="240" w:lineRule="auto"/>
    </w:pPr>
  </w:style>
  <w:style w:type="character" w:customStyle="1" w:styleId="FooterChar">
    <w:name w:val="Footer Char"/>
    <w:basedOn w:val="DefaultParagraphFont"/>
    <w:link w:val="Footer"/>
    <w:uiPriority w:val="99"/>
    <w:rsid w:val="007B5543"/>
  </w:style>
  <w:style w:type="paragraph" w:styleId="BalloonText">
    <w:name w:val="Balloon Text"/>
    <w:basedOn w:val="Normal"/>
    <w:link w:val="BalloonTextChar"/>
    <w:uiPriority w:val="99"/>
    <w:semiHidden/>
    <w:unhideWhenUsed/>
    <w:rsid w:val="007B5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48"/>
    <w:pPr>
      <w:spacing w:line="240" w:lineRule="auto"/>
      <w:ind w:left="720"/>
    </w:pPr>
    <w:rPr>
      <w:rFonts w:ascii="Calibri" w:hAnsi="Calibri" w:cs="Times New Roman"/>
    </w:rPr>
  </w:style>
  <w:style w:type="paragraph" w:styleId="Header">
    <w:name w:val="header"/>
    <w:basedOn w:val="Normal"/>
    <w:link w:val="HeaderChar"/>
    <w:uiPriority w:val="99"/>
    <w:unhideWhenUsed/>
    <w:rsid w:val="007B5543"/>
    <w:pPr>
      <w:tabs>
        <w:tab w:val="center" w:pos="4513"/>
        <w:tab w:val="right" w:pos="9026"/>
      </w:tabs>
      <w:spacing w:line="240" w:lineRule="auto"/>
    </w:pPr>
  </w:style>
  <w:style w:type="character" w:customStyle="1" w:styleId="HeaderChar">
    <w:name w:val="Header Char"/>
    <w:basedOn w:val="DefaultParagraphFont"/>
    <w:link w:val="Header"/>
    <w:uiPriority w:val="99"/>
    <w:rsid w:val="007B5543"/>
  </w:style>
  <w:style w:type="paragraph" w:styleId="Footer">
    <w:name w:val="footer"/>
    <w:basedOn w:val="Normal"/>
    <w:link w:val="FooterChar"/>
    <w:uiPriority w:val="99"/>
    <w:unhideWhenUsed/>
    <w:rsid w:val="007B5543"/>
    <w:pPr>
      <w:tabs>
        <w:tab w:val="center" w:pos="4513"/>
        <w:tab w:val="right" w:pos="9026"/>
      </w:tabs>
      <w:spacing w:line="240" w:lineRule="auto"/>
    </w:pPr>
  </w:style>
  <w:style w:type="character" w:customStyle="1" w:styleId="FooterChar">
    <w:name w:val="Footer Char"/>
    <w:basedOn w:val="DefaultParagraphFont"/>
    <w:link w:val="Footer"/>
    <w:uiPriority w:val="99"/>
    <w:rsid w:val="007B5543"/>
  </w:style>
  <w:style w:type="paragraph" w:styleId="BalloonText">
    <w:name w:val="Balloon Text"/>
    <w:basedOn w:val="Normal"/>
    <w:link w:val="BalloonTextChar"/>
    <w:uiPriority w:val="99"/>
    <w:semiHidden/>
    <w:unhideWhenUsed/>
    <w:rsid w:val="007B55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Frances Marshall</cp:lastModifiedBy>
  <cp:revision>7</cp:revision>
  <dcterms:created xsi:type="dcterms:W3CDTF">2014-05-30T12:29:00Z</dcterms:created>
  <dcterms:modified xsi:type="dcterms:W3CDTF">2014-06-06T13:45:00Z</dcterms:modified>
</cp:coreProperties>
</file>

<file path=docProps/custom.xml><?xml version="1.0" encoding="utf-8"?>
<op:Properties xmlns:op="http://schemas.openxmlformats.org/officeDocument/2006/custom-properties"/>
</file>